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E55A01" w:rsidRPr="00E55A01" w:rsidTr="00E55A01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E55A01" w:rsidRPr="00250B23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E55A01" w:rsidRPr="00250B23" w:rsidRDefault="00E55A01" w:rsidP="00E55A0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250B2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27 Temmuz 2012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E55A01" w:rsidRPr="00250B23" w:rsidRDefault="00E55A01" w:rsidP="00E55A01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250B23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E55A01" w:rsidRPr="00250B23" w:rsidRDefault="00E55A01" w:rsidP="00E55A01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250B23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28366</w:t>
                  </w:r>
                  <w:proofErr w:type="gramEnd"/>
                </w:p>
              </w:tc>
            </w:tr>
            <w:tr w:rsidR="00E55A01" w:rsidRPr="00250B23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E55A01" w:rsidRPr="00250B23" w:rsidRDefault="00E55A01" w:rsidP="00E55A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250B23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E55A01" w:rsidRPr="00E55A01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da, Tar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m ve Hayvanc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k Bakanl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E55A01" w:rsidRPr="00250B23" w:rsidRDefault="00E55A01" w:rsidP="00E55A01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RK GIDA KODEKS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BAL TEBL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İĞİ</w:t>
                  </w:r>
                </w:p>
                <w:p w:rsidR="00E55A01" w:rsidRPr="00250B23" w:rsidRDefault="00E55A01" w:rsidP="00E55A01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(TEBL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NO: 2012/58)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tekni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uygun ve hijyenik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retilmesi, haz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lenmesi, depolanmas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nakledilmesi ve piyasaya arz edilmesi 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zelliklerini belirlemektir.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 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Apismellifera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taraf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retilen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29/12/2011 tarihli ve 28157 3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kerrer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dayan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haz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ge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en;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Bal: Bitki nektarlar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bitkilerin canl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salg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bitkilerin canl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ya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ayan bitki emici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ceklerin salg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bal 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topland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ktan sonra kendine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birle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tirerek de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u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ratt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su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petekte depolayarak olgunla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al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eve: 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rudan petek yapt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temel peteklerin yerle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tirildi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malzemeyi,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petekli bal: Modern kovanlarda,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temel petek kullan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lmadan, 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pete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ile beraber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retilen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Yabanc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tat ve kokuya sahip veya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fermentasyona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fermente olmu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cakl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end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striyel veya daha sonra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lenecek di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maddelerinde bile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olarak kullan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ama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HMF: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Hidroksimetilfurfural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e)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Karakovan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sepetler ve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oyulmu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 gibi belirli bir standard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olmayan ve modern 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tekniklerinin uygulanmas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imk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vermeyen ilkel kovanlar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Karakovan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temel petek kullan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lmadan,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karakovanlarda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pete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ile beraber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retilen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Kayna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re;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1)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Bitki nektar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elde edilen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Salg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Bitkilerin canl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salg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veya bitkilerin canl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ya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ayan bitki emici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ceklerin -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Hemiptera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 salg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elde edilen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retim ve/veya pazara sunulu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ekline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re;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Petekli bal: Kulu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ama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saf balmumundan haz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temel peteklerin veya 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peteklerin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zlerinde depolanm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tamam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sat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sunulan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bal: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yavrusuz peteklerden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santrif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yolu ile elde edilen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Petekli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bal: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bal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petekli bal par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haz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zma bal: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yavrusuz peteklerden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elde edilen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5) Pres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Yavrusuz peteklerin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rudan veya 45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°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 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mamak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larak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preslenmesi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elde edilen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6) Filtre edilmi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bal: Yabanc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organik veya inorganik maddelerin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filtrasyon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yolu ile uzakla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polen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nemli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azalm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eder.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zellikleri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piyasaya sunulan veya insan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ketimi amac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herhangi bir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maddesinde bile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olarak kullan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bala ait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 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verilmi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Bala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katk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 de 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hil olmak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hi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 madde kat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bile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iminde bulunmayan organik ve/veya inorganik maddelerden ari olmas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 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bal; bala ait olmayan yabanc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tat ve kokuda,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fermantasyonu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asitli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yapay olarak de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erdi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enzimleri par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alayacak ya da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zeyde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inaktive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edecek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Filtre edilmi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 ile ilgili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sakl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yabanc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organik veya inorganik maddelerin ayr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olan kay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plar 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baldan polen veya di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bala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enler uzakla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Bal,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23/8/2006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26268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Kodeksi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eker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yer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 xml:space="preserve">alan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ekerleri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eremez.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aromas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kayna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retildi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bitkinin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ba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de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mekle birlikte,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kendine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koku ve tada sahip olmas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rengi su beyaz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koyu amber renge kadar de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ebilir. Salg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rengi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pfundskalaya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en az 60 olmal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Temel petekte balmumunun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yap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bulunmayan, parafin,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serezin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re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ine, oksalik asit gibi organik maddeler ile 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 gibi inorganik maddeler bulunamaz. Ayr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 bir gram petekte Amerikan Yavru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etkeni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Paenibacilluslarvea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spor ve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vejetatif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formu ile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Nosemosis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etkenleri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Nosemaapis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Nosema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cerene sporlar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bulunamaz.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Etiketinde orijin ald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ek, bitki,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 veya co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rafya belirtilen ballara filtre bal ilave edilemez.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Petekli ballarda, pete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en az % 80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Etiketinde botanik orijini belirtilen ballarda, ballar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bu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zelliklerinin polen analizi ile uyumlu olmas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Ek-1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belirlenen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krem bal ve kristalize bal olarak adland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ballar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de ge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erlidir.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h)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Karakovan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petekli ballar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bal olarak piyasaya arz edilemez.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Karakovan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petekli bal 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piyasaya arz edilecek ballarda pete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par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alanmamas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bal ilave edilmemesi gerekir.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Ballara ait di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 Ek-1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almaktad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Katk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maddeleri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Bala hi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 katk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 kat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Aroma vericiler ve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aroma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verme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zelli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 ta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yan g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 bile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enleri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Bala hi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bir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aroma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verici ve aroma verme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bile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enleri kat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Bula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anlar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nlerde,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29/12/2011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28157 3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kerrer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Bula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anlar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yer alan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Pestisit kal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nt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nlerde,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29/12/2011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28157 3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kerrer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Pestisitlerin Maksimum Kal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Limitleri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yer alan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Veteriner ila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kal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nt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nlerde,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4/5/2012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28282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Hayvansal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dalarda Bulunabilecek Farmakolojik Aktif Maddelerin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Maksimum Kal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Limitleri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yer alan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Hijyen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nlerde,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29/12/2011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28157 3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kerrer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Mikrobiyolojik Kriterler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ile 17/12/2011 tarihli ve 28145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Hijyeni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yer alan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Ambalajlama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ambalajlar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29/12/2011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28157 3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kerrer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ile Temas Eden Madde ve Malzemeler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yer alan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Etiketleme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nlerde,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29/12/2011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28157 3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kerrer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Etiketleme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yer alan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genel kurallara ek olan kurallar 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verilmi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tir: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Etikette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 ya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bebeklere bal yedirilmemelidir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ifadesi yer 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eveli balda net miktara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 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dahil de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ildir.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evelere 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numaralar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  <w:bookmarkStart w:id="0" w:name="_GoBack"/>
                  <w:bookmarkEnd w:id="0"/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Etikette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orijini; salg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 bal ifadesinin yan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ayn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punto ile belirtilir.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Filtre edilmi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ballar ve 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ballar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botanik kayna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belirli ise ve bal bu kayna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 ait duyusal, fiziksel, kimyasal ve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mikroskopik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belirgin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yorsa,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ismi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hlamur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orijin ald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bitkinin 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desteklenebilir.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Filtre edilmi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ballar ve 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ballar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zere, bal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retildi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lgenin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floras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ait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zelikleri belirgin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yorsa,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ismi, co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aretten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haklara ayk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olmamak kayd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o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lgenin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lgesel, co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rafi veya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topografik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birlikte kullan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ballar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etiketinde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sadece pi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 ama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ifadesi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ismine yak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kolayca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lebilir bir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yer 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f) 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ballar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olarak kullan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bir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maddesinde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ifadesi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bile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maddesinin isminde kullan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labilir. Ancak,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enler listesinde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yer 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Filtre ballar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bu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bu ballarda polen miktar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etikette belirtilir.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Hammadde ambalaj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Sistemine kay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letmeye ait hammaddenin kayna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 edecek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RKVET Kay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Sisteminden 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numaras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bulunur.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botanik kayna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Ek-1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Latince ismi verilen botanik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rlerden biri olmas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halinde;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ismi orijini olan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bitkinin 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desteklenebilir.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Karakovan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adland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rken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birlikte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petekli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ifadesi kullan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zme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 olmayan 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vamda, kontroll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ullarda kristalize edilmesi halinde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krem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kendili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inden kristalize olmas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ise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kristalize bal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piyasaya arz edilebilir.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ve depolama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 ta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depolanmas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Depolanmas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yer alan kurallara ek olarak; ballar, paketleme/dolum noktas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ula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 kadar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amalarda temiz ve kuru yerlerde kokulardan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ari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imde, do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rudan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şışığı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korunur ve 25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°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yi 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mayacak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muhafaza edilir.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Numune alma ve analiz metotlar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yer alan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nlerden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belirtilen kurallara uygun olarak numune 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r, uluslararas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analiz metotlar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AB mevzuat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uyum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20/12/2001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2001/110/AT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 ile ilgili Konsey Direktifi dikkate al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Avrupa Birli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 uyum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haz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dari yapt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ayk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davrananlar hakk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11/6/2010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5996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Veteriner Hizmetleri, Bitki Sa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ve Yem Kanununun ilgili maddelerine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 uygulan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Diastaz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HMF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erlendirmelerde ortam s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cakl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lerek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kten kald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 tebli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(1)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17/12/2005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26026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mlanan,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Bal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(Tebli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2005/49)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Uyum zorunlulu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Çİ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MADDE 1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letmecileri,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mlerine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1/1/2013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tarihine kadar uymak zorundad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faaliyet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letmecileri,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uyum sa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ncaya kadar, </w:t>
                  </w:r>
                  <w:proofErr w:type="gram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17/12/2005</w:t>
                  </w:r>
                  <w:proofErr w:type="gram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26026 say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mlanan, 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Kodeksi Bal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(Tebli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No: 2005/49)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uymak zorundad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250B23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G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da, Tar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Hayvanc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Bakan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250B23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E55A01" w:rsidRPr="00250B23" w:rsidRDefault="00E55A01" w:rsidP="00E55A01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E55A01" w:rsidRPr="00250B23" w:rsidRDefault="00E55A01" w:rsidP="00E55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250B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Ek-1</w:t>
                  </w:r>
                </w:p>
                <w:p w:rsidR="00E55A01" w:rsidRPr="00250B23" w:rsidRDefault="00E55A01" w:rsidP="00E55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250B2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Ballara Ait Diğer Özellikler</w:t>
                  </w:r>
                </w:p>
                <w:p w:rsidR="00E55A01" w:rsidRPr="00250B23" w:rsidRDefault="00E55A01" w:rsidP="00E55A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tbl>
                  <w:tblPr>
                    <w:tblW w:w="85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78"/>
                    <w:gridCol w:w="3043"/>
                    <w:gridCol w:w="1411"/>
                    <w:gridCol w:w="1358"/>
                    <w:gridCol w:w="1093"/>
                    <w:gridCol w:w="222"/>
                  </w:tblGrid>
                  <w:tr w:rsidR="00E55A01" w:rsidRPr="00250B23">
                    <w:trPr>
                      <w:trHeight w:val="20"/>
                      <w:tblHeader/>
                      <w:jc w:val="center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Çiçek Balı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Salgı Balı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Çiçek  ve</w:t>
                        </w:r>
                        <w:proofErr w:type="gramEnd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  Salgı Balı Karışımı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Fırıncılık Balı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Nem (en fazla)</w:t>
                        </w:r>
                      </w:p>
                    </w:tc>
                    <w:tc>
                      <w:tcPr>
                        <w:tcW w:w="581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% 20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% 20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% 20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% 23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76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3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% 25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Püren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Calluna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kaynaklı fırıncılık ballarında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% 23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Püren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Calluna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ballarında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Sakaroz 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(en fazla)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 g/100 g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 g/100 g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 g/100 g</w:t>
                        </w:r>
                      </w:p>
                    </w:tc>
                    <w:tc>
                      <w:tcPr>
                        <w:tcW w:w="23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 g/100 g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10g/100g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gram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Yalancı akasya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Robinapsedoacacia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lastRenderedPageBreak/>
                          <w:t>Adi yonca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Medicagosativa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MenziesBanksia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Banksiameziesii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Tatlı yonca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Hedysarum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Kırmızı okaliptüs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Eucalyptuscamadulensis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Meşin ağacı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Eucryhialucida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,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Eucyrphiamilliganii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 ve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Narenciye ballarında</w:t>
                        </w: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  <w:proofErr w:type="gramEnd"/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lastRenderedPageBreak/>
                          <w:t xml:space="preserve">10g/100g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Kızıl çam</w:t>
                        </w:r>
                        <w:proofErr w:type="gram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lastRenderedPageBreak/>
                          <w:t>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Pinusbrutia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ve Fıstık çamlarından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Pinuspinea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elde edilen salgı ballarında)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15 g/100 g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Lavanta çiçeği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Lavandulaspp</w:t>
                        </w:r>
                        <w:proofErr w:type="spellEnd"/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.,</w:t>
                        </w:r>
                        <w:proofErr w:type="spellStart"/>
                        <w:proofErr w:type="gram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Boragaofficinalis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ballarında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Fruktoz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 +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Glukoz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 (en az)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100 g’da 60 g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100 g’da 45 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100 g’da 45 g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Fruktoz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 /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Glukoz</w:t>
                        </w:r>
                        <w:proofErr w:type="spellEnd"/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0,9 - 1,4  </w:t>
                        </w:r>
                      </w:p>
                    </w:tc>
                    <w:tc>
                      <w:tcPr>
                        <w:tcW w:w="3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1,0-1,4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1,0-1,4</w:t>
                        </w:r>
                      </w:p>
                    </w:tc>
                    <w:tc>
                      <w:tcPr>
                        <w:tcW w:w="23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1,0-1,85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Kestane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tr-TR"/>
                          </w:rPr>
                          <w:t>Castaneasativa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1,2-1,85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Akasya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tr-TR"/>
                          </w:rPr>
                          <w:t>Robiniapseudoacacia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1,0-1,65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Kekik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tr-TR"/>
                          </w:rPr>
                          <w:t>Thymusspp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tr-TR"/>
                          </w:rPr>
                          <w:t>.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Suda çözünmeyen madde (en fazla)*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0,1 g/100 g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0,1 g/100 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0,1 g/100 g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0,1 g/100 g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Serbest asitlik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(en fazla)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50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meq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/kg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50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meq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50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meq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/kg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80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meq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/kg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Elektrik iletkenliği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 fazla 0,8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/cm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gram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Kocayemiş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Arbutusunedo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),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Çanotu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Erica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),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Okaliptus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Ihlamur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Tiliaspp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.)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,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Süpürgeçalı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Callunavulgaris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)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,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Okyanus mersini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  <w:szCs w:val="18"/>
                            <w:lang w:eastAsia="tr-TR"/>
                          </w:rPr>
                          <w:t>leptospermum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)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Çay ağacı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Melaleucaspp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), 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ve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iCs/>
                            <w:sz w:val="18"/>
                            <w:szCs w:val="18"/>
                            <w:lang w:eastAsia="tr-TR"/>
                          </w:rPr>
                          <w:t>Pamuk</w:t>
                        </w:r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Gossipiumspp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szCs w:val="18"/>
                            <w:lang w:eastAsia="tr-TR"/>
                          </w:rPr>
                          <w:t>.’</w:t>
                        </w: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dan</w:t>
                        </w:r>
                        <w:proofErr w:type="gram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elde edilenler hariç )</w:t>
                        </w:r>
                      </w:p>
                    </w:tc>
                    <w:tc>
                      <w:tcPr>
                        <w:tcW w:w="3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 </w:t>
                        </w: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az  0</w:t>
                        </w:r>
                        <w:proofErr w:type="gram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,8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/cm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 fazla 0,8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/cm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3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 fazla 0,8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/cm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 az 0,8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/cm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(Kestane balında)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 az 0,8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mS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/cm 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(Kestane balı ve salgı balı karışımlarında)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Diastaz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 sayısı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(en az)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3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3 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(Narenciye balı gibi yapısında doğal olarak düşük miktarda enzim bulunan ve doğal olarak HMF miktarı 15 mg/kg’dan fazla olmayan balda)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HMF (en fazla)**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lastRenderedPageBreak/>
                          <w:t>40 mg/kg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40 mg/kg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40 mg/kg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lastRenderedPageBreak/>
                          <w:t>Balda protein ve ham bal delta Cl3 değerleri arasındaki fark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-1,0 veya daha pozitif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-1,0 veya </w:t>
                        </w: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daha  pozitif</w:t>
                        </w:r>
                        <w:proofErr w:type="gramEnd"/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-1,</w:t>
                        </w: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0  veya</w:t>
                        </w:r>
                        <w:proofErr w:type="gram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daha pozitif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-1,</w:t>
                        </w:r>
                        <w:proofErr w:type="gram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0  veya</w:t>
                        </w:r>
                        <w:proofErr w:type="gram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daha pozitif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Balda protein ve ham bal delta Cl3 değerlerinden hesaplanan C4 şekerleri oranı 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(en fazla)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%7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%7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%7</w:t>
                        </w:r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%7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Prolin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 xml:space="preserve"> miktarı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(en az)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300 mg/kg </w:t>
                        </w:r>
                      </w:p>
                    </w:tc>
                    <w:tc>
                      <w:tcPr>
                        <w:tcW w:w="326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300 mg/kg 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300 mg/kg </w:t>
                        </w:r>
                      </w:p>
                    </w:tc>
                    <w:tc>
                      <w:tcPr>
                        <w:tcW w:w="23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180 mg/kg 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180 mg/kg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Kanola</w:t>
                        </w:r>
                        <w:proofErr w:type="spellEnd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, ıhlamur, narenciye, lavanta, okaliptüs ballarında)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120 mg/kg</w:t>
                        </w:r>
                      </w:p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(Biberiye, akasya ballarında)</w:t>
                        </w:r>
                      </w:p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E55A01" w:rsidRPr="00250B23">
                    <w:trPr>
                      <w:trHeight w:val="20"/>
                      <w:jc w:val="center"/>
                    </w:trPr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Naftalin miktarı (en fazla)***</w:t>
                        </w:r>
                      </w:p>
                    </w:tc>
                    <w:tc>
                      <w:tcPr>
                        <w:tcW w:w="58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10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ppb</w:t>
                        </w:r>
                        <w:proofErr w:type="spellEnd"/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10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ppb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tabs>
                            <w:tab w:val="left" w:pos="4286"/>
                            <w:tab w:val="left" w:pos="5136"/>
                          </w:tabs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10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ppb</w:t>
                        </w:r>
                        <w:proofErr w:type="spellEnd"/>
                      </w:p>
                    </w:tc>
                    <w:tc>
                      <w:tcPr>
                        <w:tcW w:w="2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A01" w:rsidRPr="00250B23" w:rsidRDefault="00E55A01" w:rsidP="00E55A01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10 </w:t>
                        </w:r>
                        <w:proofErr w:type="spellStart"/>
                        <w:r w:rsidRPr="00250B2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ppb</w:t>
                        </w:r>
                        <w:proofErr w:type="spellEnd"/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55A01" w:rsidRPr="00250B23" w:rsidRDefault="00E55A01" w:rsidP="00E55A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55A01" w:rsidRPr="00250B23" w:rsidRDefault="00E55A01" w:rsidP="00E55A01">
                  <w:pPr>
                    <w:tabs>
                      <w:tab w:val="left" w:pos="1080"/>
                    </w:tabs>
                    <w:spacing w:after="0" w:line="240" w:lineRule="auto"/>
                    <w:ind w:hanging="18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E55A01" w:rsidRPr="00250B23" w:rsidRDefault="00E55A01" w:rsidP="00E55A01">
                  <w:pPr>
                    <w:tabs>
                      <w:tab w:val="left" w:pos="1080"/>
                    </w:tabs>
                    <w:spacing w:after="0" w:line="240" w:lineRule="auto"/>
                    <w:ind w:left="471" w:hanging="47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250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*    </w:t>
                  </w:r>
                  <w:r w:rsidRPr="00250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  <w:t>Pres balında suda çözünmeyen madde miktarı 0, 5 g/100 g’ı geçemez.</w:t>
                  </w:r>
                </w:p>
                <w:p w:rsidR="00E55A01" w:rsidRPr="00250B23" w:rsidRDefault="00E55A01" w:rsidP="00E55A01">
                  <w:pPr>
                    <w:spacing w:after="0" w:line="240" w:lineRule="auto"/>
                    <w:ind w:left="471" w:hanging="47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250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**  </w:t>
                  </w:r>
                  <w:r w:rsidRPr="00250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  <w:t>Üretildiği bölge etiketinde belirtilmek koşulu ile tropikal ülke kaynaklı ballarda HMF miktarı en çok 80 mg/kg olur.</w:t>
                  </w:r>
                </w:p>
                <w:p w:rsidR="00E55A01" w:rsidRPr="00E55A01" w:rsidRDefault="00E55A01" w:rsidP="00E55A01">
                  <w:pPr>
                    <w:spacing w:after="0" w:line="240" w:lineRule="auto"/>
                    <w:ind w:left="471" w:hanging="47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250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*** </w:t>
                  </w:r>
                  <w:r w:rsidRPr="00250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ab/>
                    <w:t xml:space="preserve">Balmumunda naftalin miktarı 10 </w:t>
                  </w:r>
                  <w:proofErr w:type="spellStart"/>
                  <w:r w:rsidRPr="00250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ppb’den</w:t>
                  </w:r>
                  <w:proofErr w:type="spellEnd"/>
                  <w:r w:rsidRPr="00250B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fazla olamaz.</w:t>
                  </w:r>
                </w:p>
                <w:p w:rsidR="00E55A01" w:rsidRPr="00E55A01" w:rsidRDefault="00E55A01" w:rsidP="00E55A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E55A01" w:rsidRPr="00E55A01" w:rsidRDefault="00E55A01" w:rsidP="00E5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55A01" w:rsidRPr="00E55A01" w:rsidRDefault="00E55A01" w:rsidP="00E55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3268" w:rsidRDefault="00483268"/>
    <w:sectPr w:rsidR="00483268" w:rsidSect="0026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D65"/>
    <w:rsid w:val="00002D65"/>
    <w:rsid w:val="0000610D"/>
    <w:rsid w:val="00250B23"/>
    <w:rsid w:val="0026198D"/>
    <w:rsid w:val="00483268"/>
    <w:rsid w:val="00B22C8F"/>
    <w:rsid w:val="00E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2018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HP</cp:lastModifiedBy>
  <cp:revision>8</cp:revision>
  <cp:lastPrinted>2012-07-27T09:29:00Z</cp:lastPrinted>
  <dcterms:created xsi:type="dcterms:W3CDTF">2012-07-27T09:29:00Z</dcterms:created>
  <dcterms:modified xsi:type="dcterms:W3CDTF">2017-04-24T07:15:00Z</dcterms:modified>
</cp:coreProperties>
</file>